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A1A5B" w:rsidRDefault="005C5F1A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4296410</wp:posOffset>
            </wp:positionH>
            <wp:positionV relativeFrom="paragraph">
              <wp:posOffset>-10794</wp:posOffset>
            </wp:positionV>
            <wp:extent cx="2181600" cy="838800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600" cy="83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A1A5B" w:rsidRDefault="005C5F1A">
      <w:pPr>
        <w:spacing w:after="0"/>
        <w:jc w:val="center"/>
      </w:pPr>
      <w:r>
        <w:rPr>
          <w:b/>
          <w:sz w:val="40"/>
          <w:szCs w:val="40"/>
        </w:rPr>
        <w:t>Pályázati tájékoztató</w:t>
      </w:r>
      <w:r>
        <w:rPr>
          <w:b/>
          <w:sz w:val="40"/>
          <w:szCs w:val="40"/>
        </w:rPr>
        <w:br/>
      </w:r>
    </w:p>
    <w:p w:rsidR="002A1A5B" w:rsidRDefault="005C5F1A">
      <w:pPr>
        <w:jc w:val="center"/>
      </w:pPr>
      <w:r>
        <w:rPr>
          <w:b/>
          <w:sz w:val="26"/>
          <w:szCs w:val="26"/>
        </w:rPr>
        <w:t>GINOP-3.2.2-8.2.4-16 Vállalati komplex infokommunikációs és mobilfejlesztések, felhőalapú online üzleti szolgáltatások terjesztésének támogatása</w:t>
      </w:r>
    </w:p>
    <w:p w:rsidR="002A1A5B" w:rsidRDefault="002A1A5B"/>
    <w:p w:rsidR="002A1A5B" w:rsidRDefault="005C5F1A">
      <w:r>
        <w:rPr>
          <w:b/>
        </w:rPr>
        <w:t xml:space="preserve">Pályázat célja </w:t>
      </w:r>
      <w:r>
        <w:rPr>
          <w:b/>
        </w:rPr>
        <w:br/>
      </w:r>
      <w:r>
        <w:t xml:space="preserve">A konstrukcióban két célterületre lehet </w:t>
      </w:r>
      <w:r>
        <w:rPr>
          <w:b/>
        </w:rPr>
        <w:t>együttesen vagy külön-külön</w:t>
      </w:r>
      <w:r>
        <w:t xml:space="preserve"> támogatási kérelmet benyújtani:  </w:t>
      </w:r>
    </w:p>
    <w:p w:rsidR="002A1A5B" w:rsidRDefault="005C5F1A">
      <w:pPr>
        <w:numPr>
          <w:ilvl w:val="0"/>
          <w:numId w:val="4"/>
        </w:numPr>
        <w:spacing w:after="0"/>
        <w:ind w:hanging="360"/>
        <w:contextualSpacing/>
      </w:pPr>
      <w:r>
        <w:t xml:space="preserve">Vállalati komplex infokommunikációs és mobilfejlesztések támogatása - </w:t>
      </w:r>
      <w:proofErr w:type="spellStart"/>
      <w:r>
        <w:t>on-premise</w:t>
      </w:r>
      <w:proofErr w:type="spellEnd"/>
      <w:r>
        <w:t xml:space="preserve"> vagy </w:t>
      </w:r>
      <w:proofErr w:type="spellStart"/>
      <w:r>
        <w:t>in</w:t>
      </w:r>
      <w:proofErr w:type="spellEnd"/>
      <w:r>
        <w:t xml:space="preserve"> house módon, vagyis vállalkozáson belül történt üzleti IKT rendszer, illetve alkalmazás bevezetés (helyben telepített saját szoftver</w:t>
      </w:r>
      <w:r>
        <w:t xml:space="preserve"> bevezetése).  </w:t>
      </w:r>
    </w:p>
    <w:p w:rsidR="002A1A5B" w:rsidRDefault="005C5F1A">
      <w:pPr>
        <w:numPr>
          <w:ilvl w:val="0"/>
          <w:numId w:val="4"/>
        </w:numPr>
        <w:spacing w:after="0"/>
        <w:ind w:hanging="360"/>
        <w:contextualSpacing/>
        <w:rPr>
          <w:b/>
        </w:rPr>
      </w:pPr>
      <w:r>
        <w:t>Felhőalapú (</w:t>
      </w:r>
      <w:proofErr w:type="spellStart"/>
      <w:r>
        <w:t>IaaS</w:t>
      </w:r>
      <w:proofErr w:type="spellEnd"/>
      <w:r>
        <w:t xml:space="preserve">, </w:t>
      </w:r>
      <w:proofErr w:type="spellStart"/>
      <w:r>
        <w:t>PaaS</w:t>
      </w:r>
      <w:proofErr w:type="spellEnd"/>
      <w:r>
        <w:t xml:space="preserve">, </w:t>
      </w:r>
      <w:proofErr w:type="spellStart"/>
      <w:r>
        <w:t>SaaS</w:t>
      </w:r>
      <w:proofErr w:type="spellEnd"/>
      <w:r>
        <w:t xml:space="preserve">) és egyéb online vállalati szolgáltatások, megoldások terjesztése és bevezetése a kkv-k körében (felhőalapú szolgáltatások bevezetése).   </w:t>
      </w:r>
    </w:p>
    <w:p w:rsidR="002A1A5B" w:rsidRDefault="002A1A5B">
      <w:pPr>
        <w:ind w:left="720"/>
      </w:pPr>
    </w:p>
    <w:p w:rsidR="002A1A5B" w:rsidRDefault="005C5F1A">
      <w:pPr>
        <w:spacing w:after="60" w:line="240" w:lineRule="auto"/>
      </w:pPr>
      <w:r>
        <w:t xml:space="preserve">1. Vállalati CRM, értékesítés terület;  </w:t>
      </w:r>
    </w:p>
    <w:p w:rsidR="002A1A5B" w:rsidRDefault="005C5F1A">
      <w:pPr>
        <w:spacing w:after="60" w:line="240" w:lineRule="auto"/>
      </w:pPr>
      <w:r>
        <w:t xml:space="preserve">2. Gyártási terület;  </w:t>
      </w:r>
    </w:p>
    <w:p w:rsidR="002A1A5B" w:rsidRDefault="005C5F1A">
      <w:pPr>
        <w:spacing w:after="60" w:line="240" w:lineRule="auto"/>
      </w:pPr>
      <w:r>
        <w:t>3. Humá</w:t>
      </w:r>
      <w:r>
        <w:t xml:space="preserve">n erőforrás menedzsment és bérszámfejtés;  </w:t>
      </w:r>
    </w:p>
    <w:p w:rsidR="002A1A5B" w:rsidRDefault="005C5F1A">
      <w:pPr>
        <w:spacing w:after="60" w:line="240" w:lineRule="auto"/>
      </w:pPr>
      <w:r>
        <w:t xml:space="preserve">4. Kontrolling és döntéstámogatás;  </w:t>
      </w:r>
    </w:p>
    <w:p w:rsidR="002A1A5B" w:rsidRDefault="005C5F1A">
      <w:pPr>
        <w:spacing w:after="60" w:line="240" w:lineRule="auto"/>
      </w:pPr>
      <w:r>
        <w:t xml:space="preserve">5. Beszerzési, logisztikai terület;  </w:t>
      </w:r>
    </w:p>
    <w:p w:rsidR="002A1A5B" w:rsidRDefault="005C5F1A">
      <w:pPr>
        <w:spacing w:after="60" w:line="240" w:lineRule="auto"/>
      </w:pPr>
      <w:r>
        <w:t xml:space="preserve">6. Táv- és csoportmunka támogatás;  </w:t>
      </w:r>
    </w:p>
    <w:p w:rsidR="002A1A5B" w:rsidRDefault="005C5F1A">
      <w:pPr>
        <w:spacing w:after="60" w:line="240" w:lineRule="auto"/>
      </w:pPr>
      <w:r>
        <w:t xml:space="preserve">7. Pénzügyi, számviteli terület; </w:t>
      </w:r>
    </w:p>
    <w:p w:rsidR="002A1A5B" w:rsidRDefault="005C5F1A">
      <w:pPr>
        <w:spacing w:after="60" w:line="240" w:lineRule="auto"/>
      </w:pPr>
      <w:r>
        <w:t xml:space="preserve"> 8. Internetes értékesítés (Vállalati </w:t>
      </w:r>
      <w:proofErr w:type="spellStart"/>
      <w:r>
        <w:t>webáruház</w:t>
      </w:r>
      <w:proofErr w:type="spellEnd"/>
      <w:r>
        <w:t xml:space="preserve">)  </w:t>
      </w:r>
    </w:p>
    <w:p w:rsidR="002A1A5B" w:rsidRDefault="005C5F1A">
      <w:pPr>
        <w:spacing w:after="60" w:line="240" w:lineRule="auto"/>
      </w:pPr>
      <w:r>
        <w:t>9. Internetes m</w:t>
      </w:r>
      <w:r>
        <w:t xml:space="preserve">egjelenés (Vállalati portál);  </w:t>
      </w:r>
    </w:p>
    <w:p w:rsidR="002A1A5B" w:rsidRDefault="005C5F1A">
      <w:pPr>
        <w:spacing w:after="60" w:line="240" w:lineRule="auto"/>
      </w:pPr>
      <w:r>
        <w:t>10. Munkafolyamat-irányítási megoldás (</w:t>
      </w:r>
      <w:proofErr w:type="spellStart"/>
      <w:r>
        <w:t>workflow</w:t>
      </w:r>
      <w:proofErr w:type="spellEnd"/>
      <w:r>
        <w:t xml:space="preserve">);  </w:t>
      </w:r>
    </w:p>
    <w:p w:rsidR="002A1A5B" w:rsidRDefault="005C5F1A">
      <w:pPr>
        <w:spacing w:after="60" w:line="240" w:lineRule="auto"/>
      </w:pPr>
      <w:r>
        <w:t xml:space="preserve">11. Elektronikus iratkezelési megoldás;  </w:t>
      </w:r>
    </w:p>
    <w:p w:rsidR="002A1A5B" w:rsidRDefault="005C5F1A">
      <w:pPr>
        <w:spacing w:after="60" w:line="240" w:lineRule="auto"/>
      </w:pPr>
      <w:r>
        <w:t xml:space="preserve">12. Tudásmenedzsment specializált megoldás;  </w:t>
      </w:r>
    </w:p>
    <w:p w:rsidR="002A1A5B" w:rsidRDefault="005C5F1A">
      <w:pPr>
        <w:spacing w:after="60" w:line="240" w:lineRule="auto"/>
      </w:pPr>
      <w:r>
        <w:t>13. Adott funkcionális területhez kapcsolódó mobil technikát használó rendszer/megol</w:t>
      </w:r>
      <w:r>
        <w:t xml:space="preserve">dás;  </w:t>
      </w:r>
    </w:p>
    <w:p w:rsidR="002A1A5B" w:rsidRDefault="005C5F1A">
      <w:pPr>
        <w:spacing w:after="60" w:line="240" w:lineRule="auto"/>
      </w:pPr>
      <w:r>
        <w:t xml:space="preserve">14. Térinformatikai és földrajzi információs (GIS) specializált rendszer;  </w:t>
      </w:r>
    </w:p>
    <w:p w:rsidR="002A1A5B" w:rsidRDefault="005C5F1A">
      <w:pPr>
        <w:spacing w:after="60" w:line="240" w:lineRule="auto"/>
      </w:pPr>
      <w:r>
        <w:t xml:space="preserve">15. RFID technológiát alkalmazó specializált rendszer;  </w:t>
      </w:r>
    </w:p>
    <w:p w:rsidR="002A1A5B" w:rsidRDefault="005C5F1A">
      <w:pPr>
        <w:spacing w:after="60" w:line="240" w:lineRule="auto"/>
      </w:pPr>
      <w:r>
        <w:t xml:space="preserve">16. Online (elektronikus) fizetési megoldás; </w:t>
      </w:r>
    </w:p>
    <w:p w:rsidR="002A1A5B" w:rsidRDefault="005C5F1A">
      <w:pPr>
        <w:spacing w:after="60" w:line="240" w:lineRule="auto"/>
      </w:pPr>
      <w:r>
        <w:t xml:space="preserve">17. Szolgáltatásmenedzsment;   </w:t>
      </w:r>
    </w:p>
    <w:p w:rsidR="002A1A5B" w:rsidRDefault="005C5F1A">
      <w:r>
        <w:t xml:space="preserve">Kizárólag a TESZOR listában található szoftverek beszerzése engedélyezett.  </w:t>
      </w:r>
    </w:p>
    <w:p w:rsidR="002A1A5B" w:rsidRDefault="005C5F1A">
      <w:r>
        <w:rPr>
          <w:b/>
        </w:rPr>
        <w:t xml:space="preserve">Támogatható tevékenységek: </w:t>
      </w:r>
    </w:p>
    <w:p w:rsidR="002A1A5B" w:rsidRDefault="005C5F1A">
      <w:pPr>
        <w:numPr>
          <w:ilvl w:val="0"/>
          <w:numId w:val="6"/>
        </w:numPr>
        <w:spacing w:after="0"/>
        <w:ind w:hanging="360"/>
        <w:contextualSpacing/>
      </w:pPr>
      <w:r>
        <w:t xml:space="preserve">Immateriális javak </w:t>
      </w:r>
      <w:proofErr w:type="gramStart"/>
      <w:r>
        <w:t>beszerzése :</w:t>
      </w:r>
      <w:proofErr w:type="gramEnd"/>
      <w:r>
        <w:t xml:space="preserve"> a </w:t>
      </w:r>
      <w:proofErr w:type="spellStart"/>
      <w:r>
        <w:t>szoftverlicenszek</w:t>
      </w:r>
      <w:proofErr w:type="spellEnd"/>
      <w:r>
        <w:t xml:space="preserve"> száma nem haladhatja meg a pályázó </w:t>
      </w:r>
      <w:proofErr w:type="spellStart"/>
      <w:r>
        <w:t>benyújtáskori</w:t>
      </w:r>
      <w:proofErr w:type="spellEnd"/>
      <w:r>
        <w:t xml:space="preserve"> létszámát </w:t>
      </w:r>
    </w:p>
    <w:p w:rsidR="002A1A5B" w:rsidRDefault="005C5F1A">
      <w:pPr>
        <w:numPr>
          <w:ilvl w:val="0"/>
          <w:numId w:val="6"/>
        </w:numPr>
        <w:spacing w:after="0"/>
        <w:ind w:hanging="360"/>
        <w:contextualSpacing/>
      </w:pPr>
      <w:r>
        <w:t>Eszközbeszerzés: o hálózati eszközök, h</w:t>
      </w:r>
      <w:r>
        <w:t xml:space="preserve">ardverek, </w:t>
      </w:r>
      <w:proofErr w:type="spellStart"/>
      <w:r>
        <w:t>okostelefonok</w:t>
      </w:r>
      <w:proofErr w:type="spellEnd"/>
      <w:r>
        <w:t xml:space="preserve"> és </w:t>
      </w:r>
      <w:proofErr w:type="spellStart"/>
      <w:r>
        <w:t>tabletek</w:t>
      </w:r>
      <w:proofErr w:type="spellEnd"/>
      <w:r>
        <w:t xml:space="preserve"> </w:t>
      </w:r>
    </w:p>
    <w:p w:rsidR="002A1A5B" w:rsidRDefault="005C5F1A">
      <w:pPr>
        <w:numPr>
          <w:ilvl w:val="0"/>
          <w:numId w:val="6"/>
        </w:numPr>
        <w:spacing w:after="0"/>
        <w:ind w:hanging="360"/>
        <w:contextualSpacing/>
      </w:pPr>
      <w:r>
        <w:t xml:space="preserve">Szakértői szolgáltatások: o vállalati folyamatmenedzsment, e-kereskedelmi rendszerek, specifikációk, oktatás és betanítás </w:t>
      </w:r>
    </w:p>
    <w:p w:rsidR="002A1A5B" w:rsidRDefault="005C5F1A">
      <w:pPr>
        <w:numPr>
          <w:ilvl w:val="0"/>
          <w:numId w:val="6"/>
        </w:numPr>
        <w:ind w:hanging="360"/>
        <w:contextualSpacing/>
      </w:pPr>
      <w:r>
        <w:t>Kötelező nyilvánosság (</w:t>
      </w:r>
      <w:proofErr w:type="spellStart"/>
      <w:r>
        <w:t>max</w:t>
      </w:r>
      <w:proofErr w:type="spellEnd"/>
      <w:r>
        <w:t xml:space="preserve"> 0,5%)</w:t>
      </w:r>
    </w:p>
    <w:p w:rsidR="003B2C81" w:rsidRDefault="003B2C81" w:rsidP="003B2C81">
      <w:pPr>
        <w:ind w:left="720"/>
        <w:contextualSpacing/>
      </w:pPr>
    </w:p>
    <w:p w:rsidR="002A1A5B" w:rsidRDefault="005C5F1A">
      <w:r>
        <w:rPr>
          <w:b/>
        </w:rPr>
        <w:lastRenderedPageBreak/>
        <w:t>Tanácsadás támogatására vonatkozó előírások:</w:t>
      </w:r>
    </w:p>
    <w:p w:rsidR="002A1A5B" w:rsidRDefault="005C5F1A">
      <w:pPr>
        <w:widowControl/>
        <w:spacing w:after="0"/>
      </w:pPr>
      <w:r>
        <w:rPr>
          <w:rFonts w:ascii="Arial" w:eastAsia="Arial" w:hAnsi="Arial" w:cs="Arial"/>
          <w:sz w:val="20"/>
          <w:szCs w:val="20"/>
          <w:highlight w:val="white"/>
        </w:rPr>
        <w:t>Vállalati folyamat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menedzsment és e-kereskedelmi rendszerek, megoldások, bevezetéséhez kapcsolódó tanácsadás, maximum nettó 96 000,- Ft/embernap értékben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igénybevehető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. De van a teljes költségvetésre nézve is belső korlát: maximum a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célterülekre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jutó összköltség 50%-ig helyb</w:t>
      </w:r>
      <w:r>
        <w:rPr>
          <w:rFonts w:ascii="Arial" w:eastAsia="Arial" w:hAnsi="Arial" w:cs="Arial"/>
          <w:sz w:val="20"/>
          <w:szCs w:val="20"/>
          <w:highlight w:val="white"/>
        </w:rPr>
        <w:t>en telepített szoftvernél, és maximum 25%-ig felhőalapú megoldás esetén.</w:t>
      </w:r>
      <w:r>
        <w:rPr>
          <w:rFonts w:ascii="Arial" w:eastAsia="Arial" w:hAnsi="Arial" w:cs="Arial"/>
          <w:color w:val="6AA84F"/>
          <w:sz w:val="20"/>
          <w:szCs w:val="20"/>
          <w:highlight w:val="white"/>
        </w:rPr>
        <w:br/>
      </w:r>
    </w:p>
    <w:p w:rsidR="002A1A5B" w:rsidRDefault="005C5F1A">
      <w:r>
        <w:rPr>
          <w:b/>
        </w:rPr>
        <w:t xml:space="preserve">A támogatás összege: </w:t>
      </w:r>
    </w:p>
    <w:p w:rsidR="002A1A5B" w:rsidRDefault="005C5F1A">
      <w:pPr>
        <w:numPr>
          <w:ilvl w:val="0"/>
          <w:numId w:val="8"/>
        </w:numPr>
        <w:spacing w:after="0"/>
        <w:ind w:hanging="360"/>
        <w:contextualSpacing/>
      </w:pPr>
      <w:r>
        <w:t xml:space="preserve">Vissza nem térítendő támogatás: 1-24 M Ft  </w:t>
      </w:r>
    </w:p>
    <w:p w:rsidR="002A1A5B" w:rsidRDefault="005C5F1A">
      <w:pPr>
        <w:numPr>
          <w:ilvl w:val="0"/>
          <w:numId w:val="8"/>
        </w:numPr>
        <w:spacing w:after="0"/>
        <w:ind w:hanging="360"/>
        <w:contextualSpacing/>
      </w:pPr>
      <w:r>
        <w:t xml:space="preserve">Hitel: 1,25-37,5 M Ft (kamatláb 2%/év) </w:t>
      </w:r>
    </w:p>
    <w:p w:rsidR="002A1A5B" w:rsidRDefault="005C5F1A">
      <w:pPr>
        <w:numPr>
          <w:ilvl w:val="0"/>
          <w:numId w:val="8"/>
        </w:numPr>
        <w:ind w:hanging="360"/>
        <w:contextualSpacing/>
      </w:pPr>
      <w:r>
        <w:t xml:space="preserve">Projekt összköltsége </w:t>
      </w:r>
      <w:proofErr w:type="spellStart"/>
      <w:r>
        <w:t>max</w:t>
      </w:r>
      <w:proofErr w:type="spellEnd"/>
      <w:r>
        <w:t xml:space="preserve">. 75 M Ft  </w:t>
      </w:r>
    </w:p>
    <w:p w:rsidR="002A1A5B" w:rsidRDefault="005C5F1A">
      <w:r>
        <w:rPr>
          <w:b/>
        </w:rPr>
        <w:t xml:space="preserve">Intenzitás: </w:t>
      </w:r>
    </w:p>
    <w:p w:rsidR="002A1A5B" w:rsidRDefault="005C5F1A">
      <w:pPr>
        <w:numPr>
          <w:ilvl w:val="0"/>
          <w:numId w:val="10"/>
        </w:numPr>
        <w:spacing w:after="0"/>
        <w:ind w:hanging="360"/>
        <w:contextualSpacing/>
      </w:pPr>
      <w:r>
        <w:t xml:space="preserve">Vissza nem térítendő támogatás: 35% (40%) </w:t>
      </w:r>
    </w:p>
    <w:p w:rsidR="002A1A5B" w:rsidRDefault="005C5F1A">
      <w:pPr>
        <w:numPr>
          <w:ilvl w:val="0"/>
          <w:numId w:val="10"/>
        </w:numPr>
        <w:spacing w:after="0"/>
        <w:ind w:hanging="360"/>
        <w:contextualSpacing/>
      </w:pPr>
      <w:r>
        <w:t xml:space="preserve">Hitel: 55% (50%) </w:t>
      </w:r>
    </w:p>
    <w:p w:rsidR="002A1A5B" w:rsidRDefault="005C5F1A">
      <w:pPr>
        <w:numPr>
          <w:ilvl w:val="0"/>
          <w:numId w:val="10"/>
        </w:numPr>
        <w:ind w:hanging="360"/>
        <w:contextualSpacing/>
      </w:pPr>
      <w:r>
        <w:t xml:space="preserve">Legalább 10% önerővel kell rendelkezni és a hitel összegének meg kell haladnia a vissza nem térítendő támogatás összegét  </w:t>
      </w:r>
    </w:p>
    <w:p w:rsidR="002A1A5B" w:rsidRDefault="005C5F1A">
      <w:r>
        <w:rPr>
          <w:b/>
        </w:rPr>
        <w:t xml:space="preserve">Előleg: </w:t>
      </w:r>
    </w:p>
    <w:p w:rsidR="002A1A5B" w:rsidRDefault="005C5F1A">
      <w:pPr>
        <w:numPr>
          <w:ilvl w:val="0"/>
          <w:numId w:val="13"/>
        </w:numPr>
        <w:ind w:hanging="360"/>
        <w:contextualSpacing/>
      </w:pPr>
      <w:r>
        <w:t>Vissza nem térítendő rész 50%-</w:t>
      </w:r>
      <w:proofErr w:type="gramStart"/>
      <w:r>
        <w:t>a</w:t>
      </w:r>
      <w:proofErr w:type="gramEnd"/>
      <w:r>
        <w:t xml:space="preserve">, de legfeljebb 12 M Ft  </w:t>
      </w:r>
    </w:p>
    <w:p w:rsidR="002A1A5B" w:rsidRDefault="005C5F1A">
      <w:r>
        <w:rPr>
          <w:b/>
        </w:rPr>
        <w:t>A támo</w:t>
      </w:r>
      <w:r>
        <w:rPr>
          <w:b/>
        </w:rPr>
        <w:t xml:space="preserve">gatás típusa: </w:t>
      </w:r>
    </w:p>
    <w:p w:rsidR="002A1A5B" w:rsidRDefault="005C5F1A">
      <w:pPr>
        <w:numPr>
          <w:ilvl w:val="0"/>
          <w:numId w:val="15"/>
        </w:numPr>
        <w:spacing w:after="0"/>
        <w:ind w:hanging="360"/>
        <w:contextualSpacing/>
      </w:pPr>
      <w:r>
        <w:t>Tanácsadás, szolgáltatás: kis- és középvállalkozás részére tanácsadáshoz nyújtott támogatás</w:t>
      </w:r>
    </w:p>
    <w:p w:rsidR="002A1A5B" w:rsidRDefault="005C5F1A">
      <w:pPr>
        <w:numPr>
          <w:ilvl w:val="0"/>
          <w:numId w:val="15"/>
        </w:numPr>
        <w:ind w:hanging="360"/>
        <w:contextualSpacing/>
      </w:pPr>
      <w:r>
        <w:t xml:space="preserve">Információs technológia-fejlesztés: csekély összegű támogatás   </w:t>
      </w:r>
    </w:p>
    <w:p w:rsidR="002A1A5B" w:rsidRDefault="005C5F1A">
      <w:r>
        <w:rPr>
          <w:b/>
        </w:rPr>
        <w:t xml:space="preserve">Pályázók köre: </w:t>
      </w:r>
    </w:p>
    <w:p w:rsidR="002A1A5B" w:rsidRDefault="005C5F1A">
      <w:pPr>
        <w:numPr>
          <w:ilvl w:val="0"/>
          <w:numId w:val="19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Méret: Mikro-, kis-, és középvállalkozások </w:t>
      </w:r>
    </w:p>
    <w:p w:rsidR="002A1A5B" w:rsidRDefault="005C5F1A">
      <w:pPr>
        <w:numPr>
          <w:ilvl w:val="0"/>
          <w:numId w:val="2"/>
        </w:numPr>
        <w:spacing w:after="0"/>
        <w:ind w:hanging="360"/>
        <w:contextualSpacing/>
      </w:pPr>
      <w:r>
        <w:t xml:space="preserve">maximum 249 alkalmazott és </w:t>
      </w:r>
    </w:p>
    <w:p w:rsidR="002A1A5B" w:rsidRDefault="005C5F1A">
      <w:pPr>
        <w:numPr>
          <w:ilvl w:val="0"/>
          <w:numId w:val="2"/>
        </w:numPr>
        <w:spacing w:after="0"/>
        <w:ind w:hanging="360"/>
        <w:contextualSpacing/>
      </w:pPr>
      <w:r>
        <w:t xml:space="preserve">maximum 50 M EUR (~12,5 Mrd Ft) árbevétel vagy </w:t>
      </w:r>
    </w:p>
    <w:p w:rsidR="002A1A5B" w:rsidRDefault="005C5F1A">
      <w:pPr>
        <w:numPr>
          <w:ilvl w:val="0"/>
          <w:numId w:val="2"/>
        </w:numPr>
        <w:spacing w:after="0"/>
        <w:ind w:left="1434" w:hanging="357"/>
        <w:contextualSpacing/>
      </w:pPr>
      <w:r>
        <w:t xml:space="preserve">43 M EUR (~10,75 Mrd Ft) mérlegfőösszeg </w:t>
      </w:r>
    </w:p>
    <w:p w:rsidR="002A1A5B" w:rsidRDefault="005C5F1A">
      <w:r>
        <w:t xml:space="preserve">A partner- és kapcsolt vállalkozások adatait össze kell vonni a besorolás meghatározásakor. </w:t>
      </w:r>
      <w:bookmarkStart w:id="0" w:name="_gjdgxs" w:colFirst="0" w:colLast="0"/>
      <w:bookmarkEnd w:id="0"/>
    </w:p>
    <w:p w:rsidR="002A1A5B" w:rsidRDefault="005C5F1A">
      <w:pPr>
        <w:numPr>
          <w:ilvl w:val="0"/>
          <w:numId w:val="3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Jogi forma: </w:t>
      </w:r>
    </w:p>
    <w:p w:rsidR="002A1A5B" w:rsidRDefault="005C5F1A">
      <w:pPr>
        <w:numPr>
          <w:ilvl w:val="0"/>
          <w:numId w:val="5"/>
        </w:numPr>
        <w:spacing w:after="0"/>
        <w:ind w:left="1418" w:hanging="360"/>
        <w:contextualSpacing/>
      </w:pPr>
      <w:r>
        <w:t>kettős könyvvitelt vezető jogi s</w:t>
      </w:r>
      <w:r>
        <w:t xml:space="preserve">zemélyiségű gazdasági társaságok, </w:t>
      </w:r>
    </w:p>
    <w:p w:rsidR="002A1A5B" w:rsidRDefault="005C5F1A">
      <w:pPr>
        <w:numPr>
          <w:ilvl w:val="0"/>
          <w:numId w:val="5"/>
        </w:numPr>
        <w:spacing w:after="0"/>
        <w:ind w:left="1418" w:hanging="360"/>
        <w:contextualSpacing/>
      </w:pPr>
      <w:r>
        <w:t xml:space="preserve">egyéni vállalkozók, egyéni cégek </w:t>
      </w:r>
    </w:p>
    <w:p w:rsidR="002A1A5B" w:rsidRDefault="005C5F1A">
      <w:pPr>
        <w:numPr>
          <w:ilvl w:val="0"/>
          <w:numId w:val="7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Gazdálkodási adatok: </w:t>
      </w:r>
    </w:p>
    <w:p w:rsidR="002A1A5B" w:rsidRDefault="005C5F1A">
      <w:pPr>
        <w:numPr>
          <w:ilvl w:val="0"/>
          <w:numId w:val="9"/>
        </w:numPr>
        <w:spacing w:after="0"/>
        <w:ind w:left="1418" w:hanging="360"/>
        <w:contextualSpacing/>
      </w:pPr>
      <w:r>
        <w:t>A pályázó cég éves átlagos statisztikai állományi létszáma a pályázat benyújtását megelőző legutolsó lezárt üzleti évben minimum 2 fő volt</w:t>
      </w:r>
    </w:p>
    <w:p w:rsidR="002A1A5B" w:rsidRDefault="005C5F1A">
      <w:pPr>
        <w:numPr>
          <w:ilvl w:val="0"/>
          <w:numId w:val="9"/>
        </w:numPr>
        <w:spacing w:after="0"/>
        <w:ind w:left="1418" w:hanging="360"/>
        <w:contextualSpacing/>
      </w:pPr>
      <w:r>
        <w:t xml:space="preserve">A pályázati kiíráson kizárólag olyan vállalkozások indulhatnak, amelyek rendelkeznek 1 teljes lezárt üzleti évvel </w:t>
      </w:r>
    </w:p>
    <w:p w:rsidR="002A1A5B" w:rsidRDefault="005C5F1A">
      <w:pPr>
        <w:numPr>
          <w:ilvl w:val="0"/>
          <w:numId w:val="9"/>
        </w:numPr>
        <w:spacing w:after="0"/>
        <w:ind w:left="1418" w:hanging="360"/>
        <w:contextualSpacing/>
      </w:pPr>
      <w:r>
        <w:t>Előző évi árbevétele eléri a projekt összköltségét</w:t>
      </w:r>
    </w:p>
    <w:p w:rsidR="002A1A5B" w:rsidRDefault="005C5F1A">
      <w:pPr>
        <w:numPr>
          <w:ilvl w:val="0"/>
          <w:numId w:val="11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Területi korlátozás: </w:t>
      </w:r>
    </w:p>
    <w:p w:rsidR="002A1A5B" w:rsidRDefault="005C5F1A">
      <w:pPr>
        <w:numPr>
          <w:ilvl w:val="0"/>
          <w:numId w:val="14"/>
        </w:numPr>
        <w:ind w:left="1418" w:hanging="360"/>
        <w:contextualSpacing/>
      </w:pPr>
      <w:r>
        <w:t xml:space="preserve">Nem támogathatóak a Közép-magyarországi régió területén megvalósuló </w:t>
      </w:r>
      <w:r>
        <w:t>projektek</w:t>
      </w:r>
      <w:r w:rsidR="00E71DEE">
        <w:br/>
      </w:r>
    </w:p>
    <w:p w:rsidR="002A1A5B" w:rsidRDefault="005C5F1A">
      <w:r>
        <w:rPr>
          <w:b/>
        </w:rPr>
        <w:t>Kötelező vállalások:</w:t>
      </w:r>
    </w:p>
    <w:p w:rsidR="002A1A5B" w:rsidRDefault="005C5F1A">
      <w:pPr>
        <w:numPr>
          <w:ilvl w:val="0"/>
          <w:numId w:val="16"/>
        </w:numPr>
        <w:spacing w:after="0"/>
        <w:ind w:hanging="360"/>
        <w:contextualSpacing/>
      </w:pPr>
      <w:r>
        <w:t xml:space="preserve">Üzemi eredmény növekedése: a 2. üzleti év végére a vissza nem térítendő támogatás 25%-t elérő üzemi eredmény növekedést kell elérni. </w:t>
      </w:r>
    </w:p>
    <w:p w:rsidR="002A1A5B" w:rsidRDefault="005C5F1A">
      <w:pPr>
        <w:numPr>
          <w:ilvl w:val="0"/>
          <w:numId w:val="16"/>
        </w:numPr>
        <w:ind w:hanging="360"/>
        <w:contextualSpacing/>
      </w:pPr>
      <w:r>
        <w:lastRenderedPageBreak/>
        <w:t>Elektronikus értékesítésből származó éves nettó árbevétel növekedése: a 2. üzleti év végére</w:t>
      </w:r>
      <w:r>
        <w:t xml:space="preserve"> a vissza nem térítendő támogatás 120%-t elérő nettó árbevétel növekedést kell elérni. </w:t>
      </w:r>
      <w:r w:rsidR="00E71DEE">
        <w:br/>
      </w:r>
    </w:p>
    <w:p w:rsidR="002A1A5B" w:rsidRDefault="005C5F1A">
      <w:r>
        <w:rPr>
          <w:b/>
        </w:rPr>
        <w:t>Biztosíték nyújtása</w:t>
      </w:r>
      <w:r w:rsidR="00E71DEE">
        <w:rPr>
          <w:b/>
        </w:rPr>
        <w:t xml:space="preserve"> vissza nem térítendő részhez</w:t>
      </w:r>
      <w:bookmarkStart w:id="1" w:name="_GoBack"/>
      <w:bookmarkEnd w:id="1"/>
      <w:r>
        <w:rPr>
          <w:b/>
        </w:rPr>
        <w:t>:</w:t>
      </w:r>
    </w:p>
    <w:p w:rsidR="002A1A5B" w:rsidRDefault="005C5F1A">
      <w:pPr>
        <w:numPr>
          <w:ilvl w:val="0"/>
          <w:numId w:val="17"/>
        </w:numPr>
        <w:spacing w:after="0"/>
        <w:ind w:hanging="360"/>
        <w:contextualSpacing/>
      </w:pPr>
      <w:r>
        <w:t xml:space="preserve">Amennyiben egy lezárt üzleti évvel rendelkezik és szerepel a köztartozásmentes adózók listáján, akkor nem kell biztosítékot nyújtani </w:t>
      </w:r>
    </w:p>
    <w:p w:rsidR="002A1A5B" w:rsidRDefault="005C5F1A">
      <w:pPr>
        <w:numPr>
          <w:ilvl w:val="0"/>
          <w:numId w:val="17"/>
        </w:numPr>
        <w:spacing w:after="0"/>
        <w:ind w:hanging="360"/>
        <w:contextualSpacing/>
      </w:pPr>
      <w:r>
        <w:t xml:space="preserve">A vissza nem térítendő részre kötelező biztosíték nyújtása: </w:t>
      </w:r>
    </w:p>
    <w:p w:rsidR="002A1A5B" w:rsidRDefault="005C5F1A">
      <w:pPr>
        <w:numPr>
          <w:ilvl w:val="0"/>
          <w:numId w:val="18"/>
        </w:numPr>
        <w:spacing w:after="0"/>
        <w:ind w:left="1418" w:hanging="360"/>
        <w:contextualSpacing/>
      </w:pPr>
      <w:r>
        <w:t xml:space="preserve">garanciavállaló nyilatkozat,  </w:t>
      </w:r>
    </w:p>
    <w:p w:rsidR="002A1A5B" w:rsidRDefault="005C5F1A">
      <w:pPr>
        <w:numPr>
          <w:ilvl w:val="0"/>
          <w:numId w:val="18"/>
        </w:numPr>
        <w:spacing w:after="0"/>
        <w:ind w:left="1418" w:hanging="360"/>
        <w:contextualSpacing/>
      </w:pPr>
      <w:r>
        <w:t xml:space="preserve">ingatlan jelzálogjog,  </w:t>
      </w:r>
    </w:p>
    <w:p w:rsidR="002A1A5B" w:rsidRDefault="005C5F1A">
      <w:pPr>
        <w:numPr>
          <w:ilvl w:val="0"/>
          <w:numId w:val="18"/>
        </w:numPr>
        <w:spacing w:after="0"/>
        <w:ind w:left="1418" w:hanging="360"/>
        <w:contextualSpacing/>
      </w:pPr>
      <w:r>
        <w:t xml:space="preserve">garanciaszervezet által vállalt kezesség,  </w:t>
      </w:r>
    </w:p>
    <w:p w:rsidR="002A1A5B" w:rsidRDefault="005C5F1A">
      <w:pPr>
        <w:numPr>
          <w:ilvl w:val="0"/>
          <w:numId w:val="18"/>
        </w:numPr>
        <w:spacing w:after="0"/>
        <w:ind w:left="1418" w:hanging="360"/>
        <w:contextualSpacing/>
      </w:pPr>
      <w:r>
        <w:t>biztosítási szerződés alapján kiállított – készfizető kezességvállalást tartalmazó – kötelezvény</w:t>
      </w:r>
      <w:r>
        <w:t xml:space="preserve">.  </w:t>
      </w:r>
    </w:p>
    <w:p w:rsidR="002A1A5B" w:rsidRDefault="005C5F1A">
      <w:pPr>
        <w:numPr>
          <w:ilvl w:val="0"/>
          <w:numId w:val="18"/>
        </w:numPr>
        <w:ind w:left="1418" w:hanging="360"/>
        <w:contextualSpacing/>
      </w:pPr>
      <w:r>
        <w:t xml:space="preserve">A biztosítéki értéknek fedeznie kell legalább a kifizetési igénylésben igényelt, továbbá a már kifizetett támogatás (beleértve az előleget is) együttes összegét.    </w:t>
      </w:r>
    </w:p>
    <w:p w:rsidR="002A1A5B" w:rsidRDefault="005C5F1A">
      <w:pPr>
        <w:widowControl/>
        <w:spacing w:after="0"/>
        <w:ind w:left="6"/>
      </w:pPr>
      <w:r>
        <w:rPr>
          <w:rFonts w:ascii="Arial" w:eastAsia="Arial" w:hAnsi="Arial" w:cs="Arial"/>
          <w:sz w:val="20"/>
          <w:szCs w:val="20"/>
          <w:highlight w:val="white"/>
        </w:rPr>
        <w:t>A fenti biztosíték lehetőségek vagylagosak, de már a pályázat beadásakor meg kell adni, hogy melyiket választja a pályázó.</w:t>
      </w:r>
    </w:p>
    <w:p w:rsidR="002A1A5B" w:rsidRDefault="002A1A5B">
      <w:pPr>
        <w:widowControl/>
        <w:spacing w:after="0"/>
        <w:ind w:left="6"/>
      </w:pPr>
    </w:p>
    <w:p w:rsidR="002A1A5B" w:rsidRDefault="005C5F1A">
      <w:pPr>
        <w:widowControl/>
        <w:spacing w:after="0"/>
        <w:ind w:left="6"/>
      </w:pPr>
      <w:r>
        <w:rPr>
          <w:rFonts w:ascii="Arial" w:eastAsia="Arial" w:hAnsi="Arial" w:cs="Arial"/>
          <w:b/>
          <w:sz w:val="20"/>
          <w:szCs w:val="20"/>
          <w:highlight w:val="white"/>
        </w:rPr>
        <w:t>Biztosíték nyújtása (garancia) a Hitelre:</w:t>
      </w:r>
    </w:p>
    <w:p w:rsidR="002A1A5B" w:rsidRDefault="002A1A5B">
      <w:pPr>
        <w:widowControl/>
        <w:spacing w:after="0"/>
        <w:ind w:left="6"/>
      </w:pPr>
    </w:p>
    <w:p w:rsidR="002A1A5B" w:rsidRDefault="005C5F1A">
      <w:pPr>
        <w:widowControl/>
        <w:spacing w:after="0"/>
      </w:pPr>
      <w:r>
        <w:rPr>
          <w:highlight w:val="white"/>
        </w:rPr>
        <w:t>Minden esetben szükséges:</w:t>
      </w:r>
    </w:p>
    <w:p w:rsidR="002A1A5B" w:rsidRDefault="005C5F1A">
      <w:pPr>
        <w:widowControl/>
        <w:spacing w:after="0"/>
      </w:pPr>
      <w:r>
        <w:rPr>
          <w:highlight w:val="white"/>
          <w:u w:val="single"/>
        </w:rPr>
        <w:t xml:space="preserve"> </w:t>
      </w:r>
    </w:p>
    <w:p w:rsidR="002A1A5B" w:rsidRDefault="005C5F1A">
      <w:pPr>
        <w:widowControl/>
        <w:spacing w:after="0"/>
        <w:ind w:left="6"/>
      </w:pPr>
      <w:r>
        <w:rPr>
          <w:highlight w:val="white"/>
          <w:u w:val="single"/>
        </w:rPr>
        <w:t>Az alábbi biztosítéki formák fogadhatók el:</w:t>
      </w:r>
    </w:p>
    <w:p w:rsidR="002A1A5B" w:rsidRDefault="005C5F1A">
      <w:pPr>
        <w:widowControl/>
        <w:numPr>
          <w:ilvl w:val="0"/>
          <w:numId w:val="12"/>
        </w:numPr>
        <w:spacing w:after="120"/>
        <w:ind w:hanging="360"/>
        <w:contextualSpacing/>
        <w:rPr>
          <w:highlight w:val="white"/>
        </w:rPr>
      </w:pPr>
      <w:r>
        <w:rPr>
          <w:highlight w:val="white"/>
        </w:rPr>
        <w:t>ingatlan jelzálog</w:t>
      </w:r>
      <w:r>
        <w:rPr>
          <w:highlight w:val="white"/>
        </w:rPr>
        <w:t>,</w:t>
      </w:r>
    </w:p>
    <w:p w:rsidR="002A1A5B" w:rsidRDefault="005C5F1A">
      <w:pPr>
        <w:widowControl/>
        <w:numPr>
          <w:ilvl w:val="0"/>
          <w:numId w:val="12"/>
        </w:numPr>
        <w:spacing w:after="120"/>
        <w:ind w:hanging="360"/>
        <w:contextualSpacing/>
        <w:rPr>
          <w:highlight w:val="white"/>
        </w:rPr>
      </w:pPr>
      <w:r>
        <w:rPr>
          <w:highlight w:val="white"/>
        </w:rPr>
        <w:t>ingó jelzálog,</w:t>
      </w:r>
    </w:p>
    <w:p w:rsidR="002A1A5B" w:rsidRDefault="005C5F1A">
      <w:pPr>
        <w:widowControl/>
        <w:numPr>
          <w:ilvl w:val="0"/>
          <w:numId w:val="12"/>
        </w:numPr>
        <w:spacing w:after="120"/>
        <w:ind w:hanging="360"/>
        <w:contextualSpacing/>
        <w:rPr>
          <w:highlight w:val="white"/>
        </w:rPr>
      </w:pPr>
      <w:r>
        <w:rPr>
          <w:highlight w:val="white"/>
        </w:rPr>
        <w:t>fizetési számla követelésen alapított óvadék,</w:t>
      </w:r>
    </w:p>
    <w:p w:rsidR="002A1A5B" w:rsidRDefault="005C5F1A">
      <w:pPr>
        <w:widowControl/>
        <w:numPr>
          <w:ilvl w:val="0"/>
          <w:numId w:val="12"/>
        </w:numPr>
        <w:spacing w:after="120"/>
        <w:ind w:hanging="360"/>
        <w:contextualSpacing/>
        <w:rPr>
          <w:highlight w:val="white"/>
        </w:rPr>
      </w:pPr>
      <w:r>
        <w:rPr>
          <w:highlight w:val="white"/>
        </w:rPr>
        <w:t>tulajdonos készfizető kezessége,</w:t>
      </w:r>
    </w:p>
    <w:p w:rsidR="002A1A5B" w:rsidRDefault="005C5F1A">
      <w:pPr>
        <w:widowControl/>
        <w:numPr>
          <w:ilvl w:val="0"/>
          <w:numId w:val="12"/>
        </w:numPr>
        <w:spacing w:after="120"/>
        <w:ind w:hanging="360"/>
        <w:contextualSpacing/>
        <w:rPr>
          <w:highlight w:val="white"/>
        </w:rPr>
      </w:pPr>
      <w:r>
        <w:rPr>
          <w:highlight w:val="white"/>
        </w:rPr>
        <w:t>egyéb természetes vagy jogi személy készfizető kezessége,</w:t>
      </w:r>
    </w:p>
    <w:p w:rsidR="002A1A5B" w:rsidRDefault="005C5F1A">
      <w:pPr>
        <w:widowControl/>
        <w:numPr>
          <w:ilvl w:val="0"/>
          <w:numId w:val="12"/>
        </w:numPr>
        <w:spacing w:after="0"/>
        <w:ind w:hanging="360"/>
        <w:contextualSpacing/>
        <w:rPr>
          <w:highlight w:val="white"/>
        </w:rPr>
      </w:pPr>
      <w:r>
        <w:rPr>
          <w:highlight w:val="white"/>
        </w:rPr>
        <w:t>bankgarancia</w:t>
      </w:r>
    </w:p>
    <w:p w:rsidR="002A1A5B" w:rsidRDefault="002A1A5B">
      <w:pPr>
        <w:widowControl/>
        <w:spacing w:after="0"/>
        <w:ind w:left="6"/>
      </w:pPr>
    </w:p>
    <w:p w:rsidR="002A1A5B" w:rsidRDefault="002A1A5B">
      <w:pPr>
        <w:widowControl/>
        <w:spacing w:after="0"/>
        <w:ind w:left="6"/>
      </w:pPr>
    </w:p>
    <w:p w:rsidR="002A1A5B" w:rsidRDefault="005C5F1A">
      <w:r>
        <w:rPr>
          <w:b/>
        </w:rPr>
        <w:t>Beadási határidő:</w:t>
      </w:r>
      <w:r>
        <w:t xml:space="preserve"> A pályázatokat 2017. március 8-tól lehet beadni, amelyeket úgynevezet</w:t>
      </w:r>
      <w:r>
        <w:t xml:space="preserve">t egyszerűsített eljárásrendben bírálnak el, azaz beérkezési sorrendben. </w:t>
      </w:r>
    </w:p>
    <w:p w:rsidR="002A1A5B" w:rsidRDefault="005C5F1A">
      <w:r>
        <w:rPr>
          <w:b/>
        </w:rPr>
        <w:t>Időtartam</w:t>
      </w:r>
      <w:proofErr w:type="gramStart"/>
      <w:r>
        <w:rPr>
          <w:b/>
        </w:rPr>
        <w:t xml:space="preserve">: </w:t>
      </w:r>
      <w:r>
        <w:t xml:space="preserve"> A</w:t>
      </w:r>
      <w:proofErr w:type="gramEnd"/>
      <w:r>
        <w:t xml:space="preserve"> projektre 24 hónap áll rendelkezésre</w:t>
      </w:r>
    </w:p>
    <w:p w:rsidR="002A1A5B" w:rsidRDefault="005C5F1A">
      <w:r>
        <w:rPr>
          <w:b/>
        </w:rPr>
        <w:t xml:space="preserve">Fenntartási kötelezettség: </w:t>
      </w:r>
    </w:p>
    <w:p w:rsidR="002A1A5B" w:rsidRDefault="005C5F1A">
      <w:pPr>
        <w:numPr>
          <w:ilvl w:val="0"/>
          <w:numId w:val="1"/>
        </w:numPr>
        <w:ind w:hanging="360"/>
        <w:contextualSpacing/>
      </w:pPr>
      <w:r>
        <w:t>A pályázó vállalja, hogy a támogatott beruházással létrehozott fejlesztéseket a projekt befejezését köv</w:t>
      </w:r>
      <w:r>
        <w:t xml:space="preserve">ető 3 évig fenntartja és üzemelteti.  </w:t>
      </w:r>
    </w:p>
    <w:p w:rsidR="002A1A5B" w:rsidRDefault="002A1A5B"/>
    <w:sectPr w:rsidR="002A1A5B">
      <w:headerReference w:type="default" r:id="rId8"/>
      <w:footerReference w:type="default" r:id="rId9"/>
      <w:pgSz w:w="11905" w:h="16837"/>
      <w:pgMar w:top="1304" w:right="1304" w:bottom="1304" w:left="130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F1A" w:rsidRDefault="005C5F1A">
      <w:pPr>
        <w:spacing w:after="0" w:line="240" w:lineRule="auto"/>
      </w:pPr>
      <w:r>
        <w:separator/>
      </w:r>
    </w:p>
  </w:endnote>
  <w:endnote w:type="continuationSeparator" w:id="0">
    <w:p w:rsidR="005C5F1A" w:rsidRDefault="005C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A5B" w:rsidRDefault="002A1A5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F1A" w:rsidRDefault="005C5F1A">
      <w:pPr>
        <w:spacing w:after="0" w:line="240" w:lineRule="auto"/>
      </w:pPr>
      <w:r>
        <w:separator/>
      </w:r>
    </w:p>
  </w:footnote>
  <w:footnote w:type="continuationSeparator" w:id="0">
    <w:p w:rsidR="005C5F1A" w:rsidRDefault="005C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A5B" w:rsidRDefault="002A1A5B">
    <w:pPr>
      <w:spacing w:after="0" w:line="240" w:lineRule="auto"/>
      <w:ind w:right="-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66CE"/>
    <w:multiLevelType w:val="multilevel"/>
    <w:tmpl w:val="7C8EBF9C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A933C81"/>
    <w:multiLevelType w:val="multilevel"/>
    <w:tmpl w:val="CA7203C4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F106F3A"/>
    <w:multiLevelType w:val="multilevel"/>
    <w:tmpl w:val="857ED148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FA412FE"/>
    <w:multiLevelType w:val="multilevel"/>
    <w:tmpl w:val="89DC3124"/>
    <w:lvl w:ilvl="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4" w15:restartNumberingAfterBreak="0">
    <w:nsid w:val="21B433B4"/>
    <w:multiLevelType w:val="multilevel"/>
    <w:tmpl w:val="5A725C18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2C336CDA"/>
    <w:multiLevelType w:val="multilevel"/>
    <w:tmpl w:val="7B20DFD6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31C80D9F"/>
    <w:multiLevelType w:val="multilevel"/>
    <w:tmpl w:val="622A645C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36286C43"/>
    <w:multiLevelType w:val="multilevel"/>
    <w:tmpl w:val="37A07E94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37528B2"/>
    <w:multiLevelType w:val="multilevel"/>
    <w:tmpl w:val="F35A47E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3F13065"/>
    <w:multiLevelType w:val="multilevel"/>
    <w:tmpl w:val="A2088998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478617D5"/>
    <w:multiLevelType w:val="multilevel"/>
    <w:tmpl w:val="E93A0F52"/>
    <w:lvl w:ilvl="0">
      <w:start w:val="2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4BA54F09"/>
    <w:multiLevelType w:val="multilevel"/>
    <w:tmpl w:val="84B22B5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25F4B33"/>
    <w:multiLevelType w:val="multilevel"/>
    <w:tmpl w:val="4386C024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5E1C34E4"/>
    <w:multiLevelType w:val="multilevel"/>
    <w:tmpl w:val="AF781882"/>
    <w:lvl w:ilvl="0">
      <w:start w:val="1"/>
      <w:numFmt w:val="bullet"/>
      <w:lvlText w:val="▪"/>
      <w:lvlJc w:val="left"/>
      <w:pPr>
        <w:ind w:left="765" w:firstLine="4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5" w:firstLine="112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5" w:firstLine="18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5" w:firstLine="256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5" w:firstLine="328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5" w:firstLine="400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5" w:firstLine="472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5" w:firstLine="54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5" w:firstLine="6165"/>
      </w:pPr>
      <w:rPr>
        <w:rFonts w:ascii="Arial" w:eastAsia="Arial" w:hAnsi="Arial" w:cs="Arial"/>
      </w:rPr>
    </w:lvl>
  </w:abstractNum>
  <w:abstractNum w:abstractNumId="14" w15:restartNumberingAfterBreak="0">
    <w:nsid w:val="60FF6033"/>
    <w:multiLevelType w:val="multilevel"/>
    <w:tmpl w:val="A0C66ACC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62081E74"/>
    <w:multiLevelType w:val="multilevel"/>
    <w:tmpl w:val="DD883E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62E77F09"/>
    <w:multiLevelType w:val="multilevel"/>
    <w:tmpl w:val="AF34D876"/>
    <w:lvl w:ilvl="0">
      <w:start w:val="1"/>
      <w:numFmt w:val="bullet"/>
      <w:lvlText w:val="▪"/>
      <w:lvlJc w:val="left"/>
      <w:pPr>
        <w:ind w:left="765" w:firstLine="4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5" w:firstLine="112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5" w:firstLine="18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5" w:firstLine="256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5" w:firstLine="328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5" w:firstLine="400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5" w:firstLine="472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5" w:firstLine="54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5" w:firstLine="6165"/>
      </w:pPr>
      <w:rPr>
        <w:rFonts w:ascii="Arial" w:eastAsia="Arial" w:hAnsi="Arial" w:cs="Arial"/>
      </w:rPr>
    </w:lvl>
  </w:abstractNum>
  <w:abstractNum w:abstractNumId="17" w15:restartNumberingAfterBreak="0">
    <w:nsid w:val="6B0455DC"/>
    <w:multiLevelType w:val="multilevel"/>
    <w:tmpl w:val="2E8E83A4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788F670F"/>
    <w:multiLevelType w:val="multilevel"/>
    <w:tmpl w:val="EC5AD180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18"/>
  </w:num>
  <w:num w:numId="11">
    <w:abstractNumId w:val="16"/>
  </w:num>
  <w:num w:numId="12">
    <w:abstractNumId w:val="15"/>
  </w:num>
  <w:num w:numId="13">
    <w:abstractNumId w:val="5"/>
  </w:num>
  <w:num w:numId="14">
    <w:abstractNumId w:val="17"/>
  </w:num>
  <w:num w:numId="15">
    <w:abstractNumId w:val="14"/>
  </w:num>
  <w:num w:numId="16">
    <w:abstractNumId w:val="7"/>
  </w:num>
  <w:num w:numId="17">
    <w:abstractNumId w:val="6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1A5B"/>
    <w:rsid w:val="002A1A5B"/>
    <w:rsid w:val="003B2C81"/>
    <w:rsid w:val="005C5F1A"/>
    <w:rsid w:val="00E7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34318C-FDF9-46D5-8CBB-0FB4279F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Cmsor2">
    <w:name w:val="heading 2"/>
    <w:basedOn w:val="Norml"/>
    <w:next w:val="Norml"/>
    <w:pPr>
      <w:keepNext/>
      <w:keepLines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Cmsor3">
    <w:name w:val="heading 3"/>
    <w:basedOn w:val="Norml"/>
    <w:next w:val="Norml"/>
    <w:pPr>
      <w:keepNext/>
      <w:keepLines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Cmsor4">
    <w:name w:val="heading 4"/>
    <w:basedOn w:val="Norml"/>
    <w:next w:val="Norml"/>
    <w:pPr>
      <w:keepNext/>
      <w:keepLine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Cmsor5">
    <w:name w:val="heading 5"/>
    <w:basedOn w:val="Norml"/>
    <w:next w:val="Norml"/>
    <w:pPr>
      <w:keepNext/>
      <w:keepLine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Cmsor6">
    <w:name w:val="heading 6"/>
    <w:basedOn w:val="Norml"/>
    <w:next w:val="Norml"/>
    <w:pPr>
      <w:keepNext/>
      <w:keepLines/>
      <w:spacing w:before="240" w:after="60" w:line="240" w:lineRule="auto"/>
      <w:outlineLvl w:val="5"/>
    </w:pPr>
    <w:rPr>
      <w:rFonts w:ascii="Times New Roman" w:eastAsia="Times New Roman" w:hAnsi="Times New Roman" w:cs="Times New Roman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Alcm">
    <w:name w:val="Subtitle"/>
    <w:basedOn w:val="Norml"/>
    <w:next w:val="Norml"/>
    <w:pPr>
      <w:keepNext/>
      <w:keepLines/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3B2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2C81"/>
  </w:style>
  <w:style w:type="paragraph" w:styleId="llb">
    <w:name w:val="footer"/>
    <w:basedOn w:val="Norml"/>
    <w:link w:val="llbChar"/>
    <w:uiPriority w:val="99"/>
    <w:unhideWhenUsed/>
    <w:rsid w:val="003B2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2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694</Words>
  <Characters>4793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2017-02-21T14:09:00Z</dcterms:created>
  <dcterms:modified xsi:type="dcterms:W3CDTF">2017-02-21T14:20:00Z</dcterms:modified>
</cp:coreProperties>
</file>